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  <w:sectPr w:rsidR="009362B6" w:rsidRPr="00F45090" w:rsidSect="00BC4BFE">
          <w:headerReference w:type="default" r:id="rId8"/>
          <w:pgSz w:w="11900" w:h="16840"/>
          <w:pgMar w:top="1531" w:right="841" w:bottom="733" w:left="1099" w:header="0" w:footer="3" w:gutter="0"/>
          <w:pgNumType w:start="1"/>
          <w:cols w:space="708" w:equalWidth="0">
            <w:col w:w="9406"/>
          </w:cols>
        </w:sectPr>
      </w:pPr>
    </w:p>
    <w:p w:rsidR="009362B6" w:rsidRPr="00F45090" w:rsidRDefault="009362B6">
      <w:pPr>
        <w:spacing w:line="121" w:lineRule="auto"/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  <w:sectPr w:rsidR="009362B6" w:rsidRPr="00F45090" w:rsidSect="00BC4BFE">
          <w:type w:val="continuous"/>
          <w:pgSz w:w="11900" w:h="16840"/>
          <w:pgMar w:top="1531" w:right="0" w:bottom="1119" w:left="0" w:header="0" w:footer="3" w:gutter="0"/>
          <w:cols w:space="708" w:equalWidth="0">
            <w:col w:w="9406"/>
          </w:cols>
        </w:sectPr>
      </w:pP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419" w:line="200" w:lineRule="auto"/>
        <w:ind w:left="6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lastRenderedPageBreak/>
        <w:t>KALİFİKASYON SİSTEMİ</w:t>
      </w:r>
      <w:r w:rsidRPr="00F45090">
        <w:rPr>
          <w:rFonts w:asciiTheme="majorHAnsi" w:eastAsia="Arial" w:hAnsiTheme="majorHAnsi" w:cstheme="majorHAnsi"/>
          <w:b/>
          <w:smallCaps/>
          <w:color w:val="000000"/>
          <w:sz w:val="20"/>
          <w:szCs w:val="20"/>
        </w:rPr>
        <w:t xml:space="preserve"> 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– 32. YAZ OLIMPİYAT OYUNLARI</w:t>
      </w:r>
      <w:r w:rsidRPr="00F45090">
        <w:rPr>
          <w:rFonts w:asciiTheme="majorHAnsi" w:eastAsia="Arial" w:hAnsiTheme="majorHAnsi" w:cstheme="majorHAnsi"/>
          <w:b/>
          <w:smallCaps/>
          <w:color w:val="000000"/>
          <w:sz w:val="20"/>
          <w:szCs w:val="20"/>
        </w:rPr>
        <w:t xml:space="preserve"> 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- TOKYO 2020</w:t>
      </w:r>
    </w:p>
    <w:p w:rsidR="009362B6" w:rsidRPr="00F45090" w:rsidRDefault="00F45090" w:rsidP="00F450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90" w:line="320" w:lineRule="auto"/>
        <w:ind w:left="26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bookmarkStart w:id="0" w:name="gjdgxs" w:colFirst="0" w:colLast="0"/>
      <w:bookmarkEnd w:id="0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ULUSLARARASI MODERN PENTATLON FEDERASYONU-</w:t>
      </w:r>
      <w:r w:rsidR="00E777F4"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UIPM</w:t>
      </w:r>
    </w:p>
    <w:p w:rsidR="009362B6" w:rsidRPr="00F45090" w:rsidRDefault="00E777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76" w:line="320" w:lineRule="auto"/>
        <w:ind w:left="26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bookmarkStart w:id="1" w:name="30j0zll" w:colFirst="0" w:colLast="0"/>
      <w:bookmarkEnd w:id="1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Modern Pentathlon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line="190" w:lineRule="auto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A. MÜSABAKALAR (2)</w:t>
      </w:r>
    </w:p>
    <w:tbl>
      <w:tblPr>
        <w:tblStyle w:val="a"/>
        <w:tblW w:w="93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8"/>
        <w:gridCol w:w="6078"/>
      </w:tblGrid>
      <w:tr w:rsidR="009362B6" w:rsidRPr="00F45090" w:rsidTr="00F45090">
        <w:trPr>
          <w:trHeight w:val="336"/>
        </w:trPr>
        <w:tc>
          <w:tcPr>
            <w:tcW w:w="3288" w:type="dxa"/>
            <w:shd w:val="clear" w:color="auto" w:fill="000000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Erkek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Müsabakaları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(1)</w:t>
            </w:r>
          </w:p>
        </w:tc>
        <w:tc>
          <w:tcPr>
            <w:tcW w:w="6078" w:type="dxa"/>
            <w:shd w:val="clear" w:color="auto" w:fill="000000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Kadın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Müsabakaları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(1)</w:t>
            </w:r>
          </w:p>
        </w:tc>
      </w:tr>
      <w:tr w:rsidR="009362B6" w:rsidRPr="00F45090" w:rsidTr="00F45090">
        <w:trPr>
          <w:trHeight w:val="485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Ferdi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Yarışlar</w:t>
            </w:r>
            <w:proofErr w:type="spellEnd"/>
          </w:p>
        </w:tc>
        <w:tc>
          <w:tcPr>
            <w:tcW w:w="6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Ferdi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Yarışlar</w:t>
            </w:r>
            <w:proofErr w:type="spellEnd"/>
          </w:p>
        </w:tc>
      </w:tr>
    </w:tbl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E777F4" w:rsidP="00F45090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before="472" w:after="502" w:line="190" w:lineRule="auto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B. SPORCU KOTASI 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1. Modern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Pentatlon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İçin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Toplam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Kota:</w:t>
      </w:r>
    </w:p>
    <w:tbl>
      <w:tblPr>
        <w:tblStyle w:val="a0"/>
        <w:tblW w:w="9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2"/>
        <w:gridCol w:w="2561"/>
        <w:gridCol w:w="2409"/>
        <w:gridCol w:w="2410"/>
        <w:gridCol w:w="1538"/>
      </w:tblGrid>
      <w:tr w:rsidR="009362B6" w:rsidRPr="00F45090" w:rsidTr="008556EA">
        <w:trPr>
          <w:trHeight w:val="509"/>
          <w:jc w:val="center"/>
        </w:trPr>
        <w:tc>
          <w:tcPr>
            <w:tcW w:w="912" w:type="dxa"/>
            <w:shd w:val="clear" w:color="auto" w:fill="FFFFFF"/>
          </w:tcPr>
          <w:p w:rsidR="009362B6" w:rsidRPr="00F45090" w:rsidRDefault="009362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000000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60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Kalan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Sıraları</w:t>
            </w:r>
            <w:proofErr w:type="spellEnd"/>
          </w:p>
        </w:tc>
        <w:tc>
          <w:tcPr>
            <w:tcW w:w="2409" w:type="dxa"/>
            <w:shd w:val="clear" w:color="auto" w:fill="000000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20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Ev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Sahibi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Ülkenin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Sıraları</w:t>
            </w:r>
            <w:proofErr w:type="spellEnd"/>
          </w:p>
        </w:tc>
        <w:tc>
          <w:tcPr>
            <w:tcW w:w="2410" w:type="dxa"/>
            <w:shd w:val="clear" w:color="auto" w:fill="000000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Üçlü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Komisyonun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Sıraları</w:t>
            </w:r>
            <w:proofErr w:type="spellEnd"/>
          </w:p>
        </w:tc>
        <w:tc>
          <w:tcPr>
            <w:tcW w:w="1538" w:type="dxa"/>
            <w:shd w:val="clear" w:color="auto" w:fill="000000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Toplam</w:t>
            </w:r>
            <w:proofErr w:type="spellEnd"/>
          </w:p>
        </w:tc>
      </w:tr>
      <w:tr w:rsidR="009362B6" w:rsidRPr="00F45090" w:rsidTr="008556EA">
        <w:trPr>
          <w:trHeight w:val="269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Erkekler</w:t>
            </w:r>
            <w:proofErr w:type="spellEnd"/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36</w:t>
            </w:r>
          </w:p>
        </w:tc>
      </w:tr>
      <w:tr w:rsidR="009362B6" w:rsidRPr="00F45090" w:rsidTr="008556EA">
        <w:trPr>
          <w:trHeight w:val="264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Kadınlar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36</w:t>
            </w:r>
          </w:p>
        </w:tc>
      </w:tr>
      <w:tr w:rsidR="009362B6" w:rsidRPr="00F45090" w:rsidTr="008556EA">
        <w:trPr>
          <w:trHeight w:val="269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72</w:t>
            </w:r>
          </w:p>
        </w:tc>
      </w:tr>
    </w:tbl>
    <w:p w:rsidR="009362B6" w:rsidRPr="00F45090" w:rsidRDefault="009362B6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a1"/>
        <w:tblW w:w="46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2"/>
        <w:gridCol w:w="2414"/>
        <w:gridCol w:w="1286"/>
      </w:tblGrid>
      <w:tr w:rsidR="009362B6" w:rsidRPr="00F45090">
        <w:trPr>
          <w:trHeight w:val="533"/>
        </w:trPr>
        <w:tc>
          <w:tcPr>
            <w:tcW w:w="4612" w:type="dxa"/>
            <w:gridSpan w:val="3"/>
            <w:shd w:val="clear" w:color="auto" w:fill="FFFFFF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right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Ülke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Başına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Maksimum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Sporcu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Sayısı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362B6" w:rsidRPr="00F45090">
        <w:trPr>
          <w:trHeight w:val="331"/>
        </w:trPr>
        <w:tc>
          <w:tcPr>
            <w:tcW w:w="912" w:type="dxa"/>
            <w:shd w:val="clear" w:color="auto" w:fill="FFFFFF"/>
          </w:tcPr>
          <w:p w:rsidR="009362B6" w:rsidRPr="00F45090" w:rsidRDefault="009362B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000000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Ülke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Başına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Kota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62B6" w:rsidRPr="00F45090" w:rsidTr="006422FC">
        <w:trPr>
          <w:trHeight w:val="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Erkekler</w:t>
            </w:r>
            <w:proofErr w:type="spellEnd"/>
          </w:p>
        </w:tc>
        <w:tc>
          <w:tcPr>
            <w:tcW w:w="241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</w:p>
        </w:tc>
      </w:tr>
      <w:tr w:rsidR="009362B6" w:rsidRPr="00F45090" w:rsidTr="006422FC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Kadınlar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</w:p>
        </w:tc>
      </w:tr>
      <w:tr w:rsidR="009362B6" w:rsidRPr="00F45090" w:rsidTr="006422FC">
        <w:trPr>
          <w:trHeight w:val="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</w:p>
        </w:tc>
      </w:tr>
    </w:tbl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p w:rsidR="009362B6" w:rsidRPr="00F45090" w:rsidRDefault="00E777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92" w:after="222" w:line="190" w:lineRule="auto"/>
        <w:ind w:left="640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bookmarkStart w:id="2" w:name="1fob9te" w:colFirst="0" w:colLast="0"/>
      <w:bookmarkEnd w:id="2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3.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Ayrılması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: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512" w:line="230" w:lineRule="auto"/>
        <w:ind w:right="300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ismine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ayrılmıştır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Ikiden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fazla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alan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hangilerinin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katılacağına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karar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582" w:line="190" w:lineRule="auto"/>
        <w:rPr>
          <w:rFonts w:asciiTheme="majorHAnsi" w:eastAsia="Arial" w:hAnsiTheme="majorHAnsi" w:cstheme="majorHAnsi"/>
          <w:b/>
          <w:color w:val="141414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C.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Sporcuların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uygunluğu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00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Bütün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yürürlükte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41’inci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Kural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(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Katılımcıların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Uyruğu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)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43’üncü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Kural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(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Dünya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Anti-Doping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Yönetmeliği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Hareket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Yönetmeliğinde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Müsabakaların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Tahrifinin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Engellenmesi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)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maddelerini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içeren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ama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bunlarla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sınırlı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kalmayan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tüz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üğüne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uymaları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gerekmektedir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Sadece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bu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tüzüğe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uyan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oyunlarına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katılabilirler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 </w:t>
      </w:r>
      <w:r w:rsidRPr="00F45090">
        <w:rPr>
          <w:rFonts w:asciiTheme="majorHAnsi" w:hAnsiTheme="majorHAnsi" w:cstheme="majorHAnsi"/>
          <w:sz w:val="20"/>
          <w:szCs w:val="20"/>
        </w:rPr>
        <w:br w:type="page"/>
      </w:r>
    </w:p>
    <w:p w:rsidR="009362B6" w:rsidRPr="00F45090" w:rsidRDefault="009362B6">
      <w:pPr>
        <w:pBdr>
          <w:top w:val="nil"/>
          <w:left w:val="nil"/>
          <w:bottom w:val="nil"/>
          <w:right w:val="nil"/>
          <w:between w:val="nil"/>
        </w:pBdr>
        <w:spacing w:after="419" w:line="200" w:lineRule="auto"/>
        <w:ind w:left="6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bookmarkStart w:id="3" w:name="_GoBack"/>
      <w:bookmarkEnd w:id="3"/>
    </w:p>
    <w:p w:rsidR="009362B6" w:rsidRPr="00F45090" w:rsidRDefault="00E777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553"/>
        </w:tabs>
        <w:spacing w:after="426" w:line="19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Süreci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312" w:line="200" w:lineRule="auto"/>
        <w:ind w:left="180"/>
        <w:jc w:val="both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Sıralamaları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line="190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müsabakaları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aşağıda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hiyerarşik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düzende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verilmiştir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</w:p>
    <w:p w:rsidR="009362B6" w:rsidRPr="00F45090" w:rsidRDefault="009362B6">
      <w:pPr>
        <w:pBdr>
          <w:top w:val="nil"/>
          <w:left w:val="nil"/>
          <w:bottom w:val="nil"/>
          <w:right w:val="nil"/>
          <w:between w:val="nil"/>
        </w:pBdr>
        <w:spacing w:line="190" w:lineRule="auto"/>
        <w:rPr>
          <w:rFonts w:asciiTheme="majorHAnsi" w:eastAsia="Arial" w:hAnsiTheme="majorHAnsi" w:cstheme="majorHAnsi"/>
          <w:color w:val="141414"/>
          <w:sz w:val="20"/>
          <w:szCs w:val="20"/>
        </w:rPr>
      </w:pPr>
    </w:p>
    <w:p w:rsidR="008556EA" w:rsidRDefault="008556EA">
      <w:pPr>
        <w:pBdr>
          <w:top w:val="nil"/>
          <w:left w:val="nil"/>
          <w:bottom w:val="nil"/>
          <w:right w:val="nil"/>
          <w:between w:val="nil"/>
        </w:pBdr>
        <w:spacing w:line="190" w:lineRule="auto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line="190" w:lineRule="auto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ERKEKLER / KADINLAR</w:t>
      </w:r>
    </w:p>
    <w:tbl>
      <w:tblPr>
        <w:tblStyle w:val="a2"/>
        <w:tblW w:w="96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08"/>
        <w:gridCol w:w="7544"/>
      </w:tblGrid>
      <w:tr w:rsidR="009362B6" w:rsidRPr="00F45090" w:rsidTr="008556EA">
        <w:trPr>
          <w:trHeight w:val="635"/>
          <w:jc w:val="center"/>
        </w:trPr>
        <w:tc>
          <w:tcPr>
            <w:tcW w:w="2108" w:type="dxa"/>
            <w:shd w:val="clear" w:color="auto" w:fill="000000"/>
            <w:vAlign w:val="center"/>
          </w:tcPr>
          <w:p w:rsidR="009362B6" w:rsidRPr="00F45090" w:rsidRDefault="00E777F4" w:rsidP="008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Cinsiyete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Göre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Verilen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Kota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Siralamarı</w:t>
            </w:r>
            <w:proofErr w:type="spellEnd"/>
          </w:p>
        </w:tc>
        <w:tc>
          <w:tcPr>
            <w:tcW w:w="7544" w:type="dxa"/>
            <w:shd w:val="clear" w:color="auto" w:fill="000000"/>
            <w:vAlign w:val="center"/>
          </w:tcPr>
          <w:p w:rsidR="009362B6" w:rsidRPr="00F45090" w:rsidRDefault="00E777F4" w:rsidP="008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Müsabakaları</w:t>
            </w:r>
            <w:proofErr w:type="spellEnd"/>
          </w:p>
        </w:tc>
      </w:tr>
      <w:tr w:rsidR="009362B6" w:rsidRPr="00F45090" w:rsidTr="008556EA">
        <w:trPr>
          <w:trHeight w:val="902"/>
          <w:jc w:val="center"/>
        </w:trPr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2019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- Tokyo (JPN)</w:t>
            </w:r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Kupası’nda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ayrılacaktır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362B6" w:rsidRPr="00F45090" w:rsidTr="008556EA">
        <w:trPr>
          <w:trHeight w:val="1142"/>
          <w:jc w:val="center"/>
        </w:trPr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öncesi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yapılması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Kupası’nda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alınmış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sıralaması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öncelik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kazanır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Kullanılmamış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bahsedilen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şampiyonanın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yüksek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sıralama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kotasız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sporcusuna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9362B6" w:rsidRPr="00F45090" w:rsidTr="008556EA">
        <w:trPr>
          <w:trHeight w:val="114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Şampiyonalar</w:t>
            </w:r>
            <w:proofErr w:type="spellEnd"/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Ocak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Aralık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tarihleri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arasında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aşağıda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listelenmiş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müsabakalarda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yazan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dereceleri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elde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sporculara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toplam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verilecektir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9362B6" w:rsidRPr="00F45090" w:rsidTr="008556EA">
        <w:trPr>
          <w:trHeight w:val="2798"/>
          <w:jc w:val="center"/>
        </w:trPr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5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Afrika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– 1.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</w:t>
            </w:r>
            <w:proofErr w:type="spellEnd"/>
          </w:p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5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– Her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komitesine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olacak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şekilde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yapmış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toplam</w:t>
            </w:r>
            <w:proofErr w:type="spellEnd"/>
            <w:proofErr w:type="gram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5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beş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verilecektir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5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Okyanusya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– 1.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</w:t>
            </w:r>
            <w:proofErr w:type="spellEnd"/>
          </w:p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2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Pan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- </w:t>
            </w:r>
            <w:r w:rsidRPr="00F45090"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  <w:t xml:space="preserve"> </w:t>
            </w: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Her</w:t>
            </w:r>
            <w:proofErr w:type="gram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komitesine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olacak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şekilde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yapmış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toplam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5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beş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verilecektir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2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NORCECA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Kuzey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Merkez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Karayipler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</w:p>
          <w:p w:rsidR="009362B6" w:rsidRPr="00F45090" w:rsidRDefault="00E77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235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Güney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</w:t>
            </w:r>
            <w:proofErr w:type="spellEnd"/>
          </w:p>
          <w:p w:rsidR="009362B6" w:rsidRPr="00F45090" w:rsidRDefault="00E77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line="235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Pan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</w:t>
            </w:r>
            <w:proofErr w:type="spellEnd"/>
          </w:p>
          <w:p w:rsidR="009362B6" w:rsidRPr="00F45090" w:rsidRDefault="00E77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line="235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Avrupa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Her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komitesine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olacak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şekilde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yapmış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toplam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8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sekiz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verilecektir</w:t>
            </w:r>
            <w:proofErr w:type="spellEnd"/>
          </w:p>
        </w:tc>
      </w:tr>
      <w:tr w:rsidR="009362B6" w:rsidRPr="00F45090" w:rsidTr="008556EA">
        <w:trPr>
          <w:trHeight w:val="1372"/>
          <w:jc w:val="center"/>
        </w:trPr>
        <w:tc>
          <w:tcPr>
            <w:tcW w:w="2108" w:type="dxa"/>
            <w:tcBorders>
              <w:left w:val="single" w:sz="4" w:space="0" w:color="000000"/>
            </w:tcBorders>
            <w:shd w:val="clear" w:color="auto" w:fill="FFFFFF"/>
          </w:tcPr>
          <w:p w:rsidR="009362B6" w:rsidRPr="00F45090" w:rsidRDefault="009362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44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Şampiyonası’nda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Şampiyona’da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bahsedilen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şampiyonanın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yüksek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sıralama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kotasız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sporcusuna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9362B6" w:rsidRPr="00F45090" w:rsidTr="008556EA">
        <w:trPr>
          <w:trHeight w:val="153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2019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44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dereceye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sahip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ayrılacaktır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.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sporcunun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müsabakalarında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önceden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olmaları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14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tarihinde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</w:t>
            </w: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listesinde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en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üst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bulunan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sporculara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ayrılacaktır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9362B6" w:rsidRPr="00F45090" w:rsidTr="008556EA">
        <w:trPr>
          <w:trHeight w:val="128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2021 UIPM 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dereceye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sahip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ayrılacaktır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. En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iyi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derece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sporcunun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önceden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almış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olmaları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14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tarihinde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Sıralaması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listesinde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en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üst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bulunan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sporculara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ayrılacakt</w:t>
            </w: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6422FC" w:rsidRPr="00F45090" w:rsidTr="008556EA">
        <w:trPr>
          <w:trHeight w:val="1286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2FC" w:rsidRPr="00F45090" w:rsidRDefault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422FC" w:rsidRDefault="006422FC" w:rsidP="006422FC">
            <w:pPr>
              <w:keepNext/>
              <w:keepLines/>
              <w:spacing w:line="25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14 </w:t>
            </w:r>
            <w:proofErr w:type="spellStart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>tarihli</w:t>
            </w:r>
            <w:proofErr w:type="spellEnd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UIPM </w:t>
            </w:r>
            <w:proofErr w:type="spellStart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>Sıralaması</w:t>
            </w:r>
            <w:proofErr w:type="spellEnd"/>
            <w:r w:rsidRPr="00F450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6422FC" w:rsidRPr="00F45090" w:rsidRDefault="006422FC" w:rsidP="006422FC">
            <w:pPr>
              <w:keepNext/>
              <w:keepLines/>
              <w:spacing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Pr="00F45090">
                <w:rPr>
                  <w:rFonts w:asciiTheme="majorHAnsi" w:hAnsiTheme="majorHAnsi" w:cstheme="majorHAnsi"/>
                  <w:sz w:val="20"/>
                  <w:szCs w:val="20"/>
                </w:rPr>
                <w:t>www.pentathlon.org/world-ranking</w:t>
              </w:r>
            </w:hyperlink>
          </w:p>
          <w:p w:rsidR="006422FC" w:rsidRPr="00F45090" w:rsidRDefault="006422FC" w:rsidP="006422FC">
            <w:pPr>
              <w:keepNext/>
              <w:keepLines/>
              <w:spacing w:line="25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422FC" w:rsidRPr="00F45090" w:rsidRDefault="006422FC" w:rsidP="006422FC">
            <w:pPr>
              <w:spacing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14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tarihinde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UIPM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Sıralaması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listesinde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ilk 6 (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altı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sırada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bulunan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yukarıda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bahsedilmiş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müsabakalarda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almamış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sporculara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birer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ayrılacaktır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="006422FC" w:rsidRPr="00F45090" w:rsidRDefault="006422FC" w:rsidP="006422FC">
            <w:pPr>
              <w:spacing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Pr="00F45090" w:rsidRDefault="006422FC" w:rsidP="006422FC">
            <w:pPr>
              <w:spacing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Listede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ilk 6 (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altı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sırada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bulunan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sporculardan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veya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daha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fazlasının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şampiyonalar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, 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, 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Şampiyonası’nda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almış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olmaları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7’nci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sıra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devamında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bulunan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sporcular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olimpiyata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hak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kazanmış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olacaklardır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="006422FC" w:rsidRPr="00F45090" w:rsidRDefault="006422FC" w:rsidP="006422FC">
            <w:pPr>
              <w:spacing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Pr="00F45090" w:rsidRDefault="006422FC" w:rsidP="006422FC">
            <w:pPr>
              <w:spacing w:after="56"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Sıralaması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, 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13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2021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tarihleri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arasında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yer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aşağıdaki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müsabakalar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dikkate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alınarak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oluşur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6422FC" w:rsidRPr="00F45090" w:rsidRDefault="006422FC" w:rsidP="006422FC">
            <w:pPr>
              <w:spacing w:after="56" w:line="25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Pr="00F45090" w:rsidRDefault="006422FC" w:rsidP="006422FC">
            <w:pPr>
              <w:keepNext/>
              <w:keepLines/>
              <w:numPr>
                <w:ilvl w:val="0"/>
                <w:numId w:val="1"/>
              </w:numPr>
              <w:tabs>
                <w:tab w:val="left" w:pos="350"/>
              </w:tabs>
              <w:spacing w:line="254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UIPM  </w:t>
            </w:r>
            <w:proofErr w:type="spellStart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Müsabakaları</w:t>
            </w:r>
            <w:proofErr w:type="spellEnd"/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2020 UIPM Pentathlon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(25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Şubat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- 1 Mart 2020 /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Kahire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2021 UIPM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Serisi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, 2021 UIPM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ile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beraber</w:t>
            </w:r>
            <w:proofErr w:type="spellEnd"/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after="60"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2021 UIPM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Şampiyonası</w:t>
            </w:r>
            <w:proofErr w:type="spellEnd"/>
          </w:p>
          <w:p w:rsidR="006422FC" w:rsidRPr="00F45090" w:rsidRDefault="006422FC" w:rsidP="006422FC">
            <w:pPr>
              <w:tabs>
                <w:tab w:val="left" w:pos="641"/>
              </w:tabs>
              <w:spacing w:after="60"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Pr="00F45090" w:rsidRDefault="006422FC" w:rsidP="006422FC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line="254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Kıtasal</w:t>
            </w:r>
            <w:proofErr w:type="spellEnd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Kalifikasyonlar</w:t>
            </w:r>
            <w:proofErr w:type="spellEnd"/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Avrupa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(6-11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Ağustos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Pan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Amerikan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Oyunları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(26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Temmuz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- 11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Ağustos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after="60"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Asya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Okyanusya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(11-21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Kasım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after="60"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Pr="00F45090" w:rsidRDefault="006422FC" w:rsidP="006422FC">
            <w:pPr>
              <w:keepNext/>
              <w:keepLines/>
              <w:numPr>
                <w:ilvl w:val="0"/>
                <w:numId w:val="1"/>
              </w:numPr>
              <w:tabs>
                <w:tab w:val="left" w:pos="365"/>
              </w:tabs>
              <w:spacing w:line="254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Sıralama</w:t>
            </w:r>
            <w:proofErr w:type="spellEnd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Müsabakaları</w:t>
            </w:r>
            <w:proofErr w:type="spellEnd"/>
            <w:r w:rsidRPr="00F450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Uluslararası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Belarus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Açık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(4-7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Temmuz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Uluslararası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Polonya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Açık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(12-15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Eylül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Pr="00F45090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Uluslararası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Kırgızistan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Açık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(26-29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Eylül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2019)</w:t>
            </w:r>
          </w:p>
          <w:p w:rsidR="006422FC" w:rsidRDefault="006422FC" w:rsidP="006422FC">
            <w:pPr>
              <w:numPr>
                <w:ilvl w:val="0"/>
                <w:numId w:val="2"/>
              </w:num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2020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Uluslararası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Budapeşte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Kapalı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 (29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Ocak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- 2 </w:t>
            </w:r>
            <w:proofErr w:type="spellStart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Şubat</w:t>
            </w:r>
            <w:proofErr w:type="spellEnd"/>
            <w:r w:rsidRPr="00F45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45090"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2020</w:t>
            </w:r>
            <w:r w:rsidRPr="00F4509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6422FC" w:rsidRDefault="006422FC" w:rsidP="006422FC">
            <w:pPr>
              <w:tabs>
                <w:tab w:val="left" w:pos="641"/>
              </w:tabs>
              <w:spacing w:line="254" w:lineRule="exact"/>
              <w:ind w:left="30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22FC" w:rsidRDefault="006422FC" w:rsidP="006422FC">
            <w:pPr>
              <w:ind w:left="300" w:right="15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*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): </w:t>
            </w:r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UIPM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tarafından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Aralık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2018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tarihinde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paylaşılmış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ve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45090">
              <w:rPr>
                <w:rFonts w:asciiTheme="majorHAnsi" w:hAnsiTheme="majorHAnsi" w:cstheme="majorHAnsi"/>
                <w:sz w:val="16"/>
                <w:szCs w:val="16"/>
                <w:lang w:val="tr-TR"/>
              </w:rPr>
              <w:t xml:space="preserve">Mart </w:t>
            </w:r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2020’de </w:t>
            </w:r>
            <w:proofErr w:type="spellStart"/>
            <w:proofErr w:type="gram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önceki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kalifikasyon</w:t>
            </w:r>
            <w:proofErr w:type="spellEnd"/>
            <w:proofErr w:type="gram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sistemiyle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onaylanmıştır</w:t>
            </w:r>
            <w:proofErr w:type="spellEnd"/>
            <w:r w:rsidRPr="00F4509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:rsidR="006422FC" w:rsidRPr="00F45090" w:rsidRDefault="006422FC" w:rsidP="006422FC">
            <w:pPr>
              <w:ind w:left="300" w:right="154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6422FC" w:rsidRPr="00F45090" w:rsidTr="006422FC">
        <w:trPr>
          <w:trHeight w:val="336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2FC" w:rsidRPr="006422FC" w:rsidRDefault="006422FC" w:rsidP="00642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6"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Ev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sahibi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ülke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yukarıda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bahsedilen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kotalardan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hiç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alamaması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durumunda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cinsiyet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başına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hakkına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sahiptir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</w:tbl>
    <w:p w:rsidR="009362B6" w:rsidRPr="00F45090" w:rsidRDefault="009362B6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F3247F" w:rsidRDefault="00E777F4" w:rsidP="006422FC">
      <w:pPr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                             </w:t>
      </w:r>
    </w:p>
    <w:p w:rsidR="009362B6" w:rsidRPr="00F3247F" w:rsidRDefault="00F3247F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280" w:line="200" w:lineRule="auto"/>
        <w:ind w:left="160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proofErr w:type="spellStart"/>
      <w:r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Üçlü</w:t>
      </w:r>
      <w:proofErr w:type="spellEnd"/>
      <w:r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</w:t>
      </w:r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o</w:t>
      </w:r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misyon</w:t>
      </w:r>
      <w:proofErr w:type="spellEnd"/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Davetiye</w:t>
      </w:r>
      <w:proofErr w:type="spellEnd"/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="00E777F4" w:rsidRPr="00F3247F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Kotaları</w:t>
      </w:r>
      <w:r w:rsidR="00E777F4" w:rsidRPr="00F3247F">
        <w:rPr>
          <w:rFonts w:asciiTheme="majorHAnsi" w:eastAsia="Arial" w:hAnsiTheme="majorHAnsi" w:cstheme="majorHAnsi"/>
          <w:b/>
          <w:color w:val="000000"/>
          <w:sz w:val="20"/>
          <w:szCs w:val="20"/>
        </w:rPr>
        <w:t>o</w:t>
      </w:r>
      <w:proofErr w:type="spellEnd"/>
      <w:r w:rsidR="00E777F4" w:rsidRPr="00F3247F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(2) </w:t>
      </w:r>
      <w:proofErr w:type="spellStart"/>
      <w:r w:rsidR="00E777F4" w:rsidRPr="00F3247F">
        <w:rPr>
          <w:rFonts w:asciiTheme="majorHAnsi" w:eastAsia="Arial" w:hAnsiTheme="majorHAnsi" w:cstheme="majorHAnsi"/>
          <w:b/>
          <w:color w:val="000000"/>
          <w:sz w:val="20"/>
          <w:szCs w:val="20"/>
        </w:rPr>
        <w:t>Üçlü</w:t>
      </w:r>
      <w:proofErr w:type="spellEnd"/>
      <w:r w:rsidR="00E777F4" w:rsidRPr="00F3247F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Commission Invitation Places are made available to eligible NOCs at the Tokyo 2020 Olympic Games in each gender.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300" w:line="230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Uluslararası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Ekim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2019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bütün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uygun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komitelerine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Davetiye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ist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eklerini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ibraz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etmeleri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için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eder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304" w:line="230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komitelerinin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isteklerini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ibraz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etmeleri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için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son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17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Ocak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2020’dir.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dönemi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sonrasında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yazılı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olarak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ayrılan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davetlerin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doğrulamasını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ilgili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komitelerine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iletir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Davetiye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detaylı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bilgi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Tokyo 2020 32.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Oyunları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–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Davetiye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–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Tahsis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Prosedürü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Yönetmeliği’nde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almaktadır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432" w:line="200" w:lineRule="auto"/>
        <w:ind w:right="20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H</w:t>
      </w:r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ost</w:t>
      </w:r>
    </w:p>
    <w:p w:rsidR="009362B6" w:rsidRPr="00F45090" w:rsidRDefault="00E777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518"/>
        </w:tabs>
        <w:spacing w:after="383" w:line="19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Onaylanma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Süreci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532" w:line="254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UIPM, her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müsabakası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sonrası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sonuçları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web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sitesinde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(</w:t>
      </w:r>
      <w:r w:rsidRPr="00F45090">
        <w:rPr>
          <w:rFonts w:asciiTheme="majorHAnsi" w:eastAsia="Arial" w:hAnsiTheme="majorHAnsi" w:cstheme="majorHAnsi"/>
          <w:color w:val="0066CC"/>
          <w:sz w:val="20"/>
          <w:szCs w:val="20"/>
          <w:u w:val="single"/>
        </w:rPr>
        <w:t xml:space="preserve"> www.pentathlon.org</w:t>
      </w:r>
      <w:proofErr w:type="gramEnd"/>
      <w:r w:rsidRPr="00F45090">
        <w:rPr>
          <w:rFonts w:asciiTheme="majorHAnsi" w:eastAsia="Arial" w:hAnsiTheme="majorHAnsi" w:cstheme="majorHAnsi"/>
          <w:color w:val="0066CC"/>
          <w:sz w:val="20"/>
          <w:szCs w:val="20"/>
          <w:u w:val="single"/>
        </w:rPr>
        <w:t xml:space="preserve"> </w:t>
      </w:r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)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paylaşacaktır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lastRenderedPageBreak/>
        <w:t>Kalifikasyon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süreci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, 14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Monako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yerel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saatine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göre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gece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yarısında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son </w:t>
      </w:r>
      <w:proofErr w:type="spellStart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bulur</w:t>
      </w:r>
      <w:proofErr w:type="spell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</w:t>
      </w:r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UIPM,</w:t>
      </w:r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1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5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her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komitesini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kendilerine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ayrılmış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bilgilendirecektir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komitelerinin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bahsedilen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kullanımı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karar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vermek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için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Monako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yerel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saatiyle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23:59’a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kadar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6 (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altı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)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günlük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süreleri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olacaktır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Paragraf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, “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G.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Zaman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Çizelgesi”nde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detaylı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olarak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verilmiştir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</w:p>
    <w:p w:rsidR="009362B6" w:rsidRPr="00F45090" w:rsidRDefault="00E777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518"/>
        </w:tabs>
        <w:spacing w:after="383" w:line="19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Kullanılmayan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tahsisi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404" w:line="254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UIPM,</w:t>
      </w:r>
      <w:r w:rsidRPr="00F45090">
        <w:rPr>
          <w:rFonts w:asciiTheme="majorHAnsi" w:eastAsia="Arial" w:hAnsiTheme="majorHAnsi" w:cstheme="majorHAnsi"/>
          <w:color w:val="141414"/>
          <w:sz w:val="20"/>
          <w:szCs w:val="20"/>
        </w:rPr>
        <w:t xml:space="preserve"> 22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her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komitelerini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tahsisi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bilgilendirecektir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miteleri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bahsedilen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kullanımı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karar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vermek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için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28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Monako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yerel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saatiyle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23:59’a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kadar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6 (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altı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)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günlük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süreleri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olacaktır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Paragraf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, “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G.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Zaman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Çizelgesi”nde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detaylı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olarak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verilmiştir</w:t>
      </w:r>
      <w:proofErr w:type="spellEnd"/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Kullanılmayan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tahsisi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olması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durumunda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süreç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önceki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başvuru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tarihinin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bitişinden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sonra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29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tekrardan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başlar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261" w:line="200" w:lineRule="auto"/>
        <w:ind w:left="160"/>
        <w:jc w:val="both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kullanilmayan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kalifiskasyon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kotalarinin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tahsisi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224" w:line="254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Tahsis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edilen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ulusal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olimpiyat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komitesi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tarafından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zamanında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onaylanmaması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veya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reddedilmesi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durumunda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14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yayınlanan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UIPM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Sıralaması’na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göre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kalifiye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olmamış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en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yüksek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sıralamadaki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geçer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“D.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Süreci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/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Müsabakaları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”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başlıklı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paragrafında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belirtilmiş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azami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kıtasal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dikkate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alınmalıdır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.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Kıtasal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kalifikasyonda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kazanılmış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bir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kotanın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kullanılmaması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durumunda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; 14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tarihli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 UIPM</w:t>
      </w:r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Sıralaması’nda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bahsi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geçen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kıtad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en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yüksek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sahip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almamış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hakkına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sahip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olacaktır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. </w:t>
      </w:r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261" w:line="200" w:lineRule="auto"/>
        <w:ind w:left="160"/>
        <w:jc w:val="both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Ev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Sahibi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Ülkenin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Kullanılmamış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Kotalarının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Tahsisi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224" w:line="254" w:lineRule="auto"/>
        <w:jc w:val="both"/>
        <w:rPr>
          <w:rFonts w:asciiTheme="majorHAnsi" w:eastAsia="Arial" w:hAnsiTheme="majorHAnsi" w:cstheme="majorHAnsi"/>
          <w:color w:val="141414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Kullanılmamış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ev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sahibi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ülke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14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yayınlanan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UIPM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Sıralaması’na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gore 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ye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olmamış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en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yüksek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sıralamadaki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geçer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after="261" w:line="200" w:lineRule="auto"/>
        <w:ind w:left="160"/>
        <w:jc w:val="both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Kullanılmamış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Kotalarının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Yeniden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Tahsisi</w:t>
      </w:r>
      <w:proofErr w:type="spellEnd"/>
    </w:p>
    <w:p w:rsidR="009362B6" w:rsidRPr="00F45090" w:rsidRDefault="00E777F4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Komisyonun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Üçlü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Komisyon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Davetiye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Kotaları’nı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tahsis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edememesi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durumunda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bu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kotalar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, 14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Haziran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2021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tarihinde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yayınlanan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UIPM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Olimpik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Sıralamas</w:t>
      </w:r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ı’na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gram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gore 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kalifiye</w:t>
      </w:r>
      <w:proofErr w:type="spellEnd"/>
      <w:proofErr w:type="gram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olmamış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en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yüksek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sıralamadaki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sporcuya</w:t>
      </w:r>
      <w:proofErr w:type="spellEnd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color w:val="000000"/>
          <w:sz w:val="20"/>
          <w:szCs w:val="20"/>
        </w:rPr>
        <w:t>geçer</w:t>
      </w:r>
      <w:proofErr w:type="spellEnd"/>
    </w:p>
    <w:p w:rsidR="00BC4BFE" w:rsidRPr="00F45090" w:rsidRDefault="00BC4BFE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:rsidR="00BC4BFE" w:rsidRPr="00F45090" w:rsidRDefault="00BC4BFE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:rsidR="00BC4BFE" w:rsidRPr="00F45090" w:rsidRDefault="00BC4BFE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:rsidR="00BC4BFE" w:rsidRPr="00F45090" w:rsidRDefault="00BC4BFE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:rsidR="00BC4BFE" w:rsidRPr="00F45090" w:rsidRDefault="00BC4BFE">
      <w:pPr>
        <w:pBdr>
          <w:top w:val="nil"/>
          <w:left w:val="nil"/>
          <w:bottom w:val="nil"/>
          <w:right w:val="nil"/>
          <w:between w:val="nil"/>
        </w:pBdr>
        <w:spacing w:after="489" w:line="254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:rsidR="006422FC" w:rsidRDefault="006422FC" w:rsidP="00F3247F">
      <w:pPr>
        <w:pBdr>
          <w:top w:val="nil"/>
          <w:left w:val="nil"/>
          <w:bottom w:val="nil"/>
          <w:right w:val="nil"/>
          <w:between w:val="nil"/>
        </w:pBdr>
        <w:spacing w:after="432" w:line="200" w:lineRule="auto"/>
        <w:ind w:right="20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</w:p>
    <w:p w:rsidR="006422FC" w:rsidRDefault="006422FC" w:rsidP="00F3247F">
      <w:pPr>
        <w:pBdr>
          <w:top w:val="nil"/>
          <w:left w:val="nil"/>
          <w:bottom w:val="nil"/>
          <w:right w:val="nil"/>
          <w:between w:val="nil"/>
        </w:pBdr>
        <w:spacing w:after="432" w:line="200" w:lineRule="auto"/>
        <w:ind w:right="20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</w:p>
    <w:p w:rsidR="00F3247F" w:rsidRPr="00F45090" w:rsidRDefault="00F3247F" w:rsidP="00F3247F">
      <w:pPr>
        <w:pBdr>
          <w:top w:val="nil"/>
          <w:left w:val="nil"/>
          <w:bottom w:val="nil"/>
          <w:right w:val="nil"/>
          <w:between w:val="nil"/>
        </w:pBdr>
        <w:spacing w:after="432" w:line="200" w:lineRule="auto"/>
        <w:ind w:right="20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lastRenderedPageBreak/>
        <w:t>KALİFİKASYON SİSTEMİ</w:t>
      </w:r>
      <w:r w:rsidRPr="00F45090">
        <w:rPr>
          <w:rFonts w:asciiTheme="majorHAnsi" w:eastAsia="Arial" w:hAnsiTheme="majorHAnsi" w:cstheme="majorHAnsi"/>
          <w:b/>
          <w:smallCaps/>
          <w:color w:val="000000"/>
          <w:sz w:val="20"/>
          <w:szCs w:val="20"/>
        </w:rPr>
        <w:t xml:space="preserve"> 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– 32. YAZ OLIMPİYAT OYUNLARI</w:t>
      </w:r>
      <w:r w:rsidRPr="00F45090">
        <w:rPr>
          <w:rFonts w:asciiTheme="majorHAnsi" w:eastAsia="Arial" w:hAnsiTheme="majorHAnsi" w:cstheme="majorHAnsi"/>
          <w:b/>
          <w:smallCaps/>
          <w:color w:val="000000"/>
          <w:sz w:val="20"/>
          <w:szCs w:val="20"/>
        </w:rPr>
        <w:t xml:space="preserve"> </w:t>
      </w:r>
      <w:r w:rsidRPr="00F45090">
        <w:rPr>
          <w:rFonts w:asciiTheme="majorHAnsi" w:eastAsia="Arial" w:hAnsiTheme="majorHAnsi" w:cstheme="majorHAnsi"/>
          <w:b/>
          <w:color w:val="000000"/>
          <w:sz w:val="20"/>
          <w:szCs w:val="20"/>
        </w:rPr>
        <w:t>- TOKYO 2020</w:t>
      </w:r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H</w:t>
      </w:r>
      <w:r w:rsidRPr="00F45090">
        <w:rPr>
          <w:rFonts w:asciiTheme="majorHAnsi" w:eastAsia="Arial" w:hAnsiTheme="majorHAnsi" w:cstheme="majorHAnsi"/>
          <w:b/>
          <w:smallCaps/>
          <w:color w:val="FFFFFF"/>
          <w:sz w:val="20"/>
          <w:szCs w:val="20"/>
        </w:rPr>
        <w:t>ost</w:t>
      </w:r>
    </w:p>
    <w:p w:rsidR="009362B6" w:rsidRPr="00F45090" w:rsidRDefault="00E777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000000"/>
        <w:spacing w:line="19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Kalifikasyon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Zaman</w:t>
      </w:r>
      <w:proofErr w:type="spellEnd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 xml:space="preserve"> </w:t>
      </w:r>
      <w:proofErr w:type="spellStart"/>
      <w:r w:rsidRPr="00F45090">
        <w:rPr>
          <w:rFonts w:asciiTheme="majorHAnsi" w:eastAsia="Arial" w:hAnsiTheme="majorHAnsi" w:cstheme="majorHAnsi"/>
          <w:b/>
          <w:color w:val="FFFFFF"/>
          <w:sz w:val="20"/>
          <w:szCs w:val="20"/>
        </w:rPr>
        <w:t>Çizelgesi</w:t>
      </w:r>
      <w:proofErr w:type="spellEnd"/>
    </w:p>
    <w:tbl>
      <w:tblPr>
        <w:tblStyle w:val="a3"/>
        <w:tblW w:w="9813" w:type="dxa"/>
        <w:jc w:val="center"/>
        <w:tblInd w:w="64" w:type="dxa"/>
        <w:tblLayout w:type="fixed"/>
        <w:tblLook w:val="0400" w:firstRow="0" w:lastRow="0" w:firstColumn="0" w:lastColumn="0" w:noHBand="0" w:noVBand="1"/>
      </w:tblPr>
      <w:tblGrid>
        <w:gridCol w:w="2868"/>
        <w:gridCol w:w="6945"/>
      </w:tblGrid>
      <w:tr w:rsidR="009362B6" w:rsidRPr="00F45090" w:rsidTr="00BC4BFE">
        <w:trPr>
          <w:trHeight w:val="510"/>
          <w:jc w:val="center"/>
        </w:trPr>
        <w:tc>
          <w:tcPr>
            <w:tcW w:w="2868" w:type="dxa"/>
            <w:shd w:val="clear" w:color="auto" w:fill="000000"/>
          </w:tcPr>
          <w:p w:rsidR="009362B6" w:rsidRPr="00F45090" w:rsidRDefault="0093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6945" w:type="dxa"/>
            <w:shd w:val="clear" w:color="auto" w:fill="000000"/>
          </w:tcPr>
          <w:p w:rsidR="009362B6" w:rsidRPr="00F45090" w:rsidRDefault="0093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200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200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Aşama</w:t>
            </w:r>
            <w:proofErr w:type="spellEnd"/>
          </w:p>
        </w:tc>
      </w:tr>
      <w:tr w:rsidR="009362B6" w:rsidRPr="00F45090" w:rsidTr="00BC4BFE">
        <w:trPr>
          <w:trHeight w:val="346"/>
          <w:jc w:val="center"/>
        </w:trPr>
        <w:tc>
          <w:tcPr>
            <w:tcW w:w="286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23-24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Şubat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Afrika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Afrika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,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Kahire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Mısır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9362B6" w:rsidRPr="00F45090" w:rsidTr="00BC4BFE">
        <w:trPr>
          <w:trHeight w:val="34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27-30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2019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Kupası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Finali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(Tokyo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Japonya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9362B6" w:rsidRPr="00F45090" w:rsidTr="00BC4BFE">
        <w:trPr>
          <w:trHeight w:val="34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26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Temmuz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- 11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Ağustos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Pan-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Oyunları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Pan-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Amerikan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(Lima - Peru)</w:t>
            </w:r>
          </w:p>
        </w:tc>
      </w:tr>
      <w:tr w:rsidR="009362B6" w:rsidRPr="00F45090" w:rsidTr="00BC4BFE">
        <w:trPr>
          <w:trHeight w:val="341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6-11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Ağustos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Avrupa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Avrupa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(Bath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Büyük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Britanya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9362B6" w:rsidRPr="00F45090" w:rsidTr="00BC4BFE">
        <w:trPr>
          <w:trHeight w:val="34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2-9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Eylül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2019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Budapeşte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Macaristan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9362B6" w:rsidRPr="00F45090" w:rsidTr="00BC4BFE">
        <w:trPr>
          <w:trHeight w:val="605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Ekim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2B6" w:rsidRPr="00F45090" w:rsidRDefault="00E7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Uluslararası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Komitesi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bütün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uygun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olimpityat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komitelerine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Üçlü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Davetiye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Kotaları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isteklerini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ibraz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etmeleri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için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davet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eder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BC4BFE" w:rsidRPr="00F45090" w:rsidTr="00BC4BFE">
        <w:trPr>
          <w:trHeight w:val="337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11-21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Ekim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Vuhan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Çin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BC4BFE" w:rsidRPr="00F45090" w:rsidTr="00BC4BFE">
        <w:trPr>
          <w:trHeight w:val="414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11-21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Ekim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Okyanusya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Okyanusya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Müsabakası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Vuhan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Çin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BC4BFE" w:rsidRPr="00F45090" w:rsidTr="00BC4BFE">
        <w:trPr>
          <w:trHeight w:val="420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17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Ocak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komitelerinin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üçlü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komisyon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davet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kotalarına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başvuru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için</w:t>
            </w:r>
            <w:proofErr w:type="spellEnd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son </w:t>
            </w:r>
            <w:proofErr w:type="spellStart"/>
            <w:r w:rsidRPr="00F45090">
              <w:rPr>
                <w:rFonts w:asciiTheme="majorHAnsi" w:eastAsia="Arial" w:hAnsiTheme="majorHAnsi" w:cstheme="majorHAnsi"/>
                <w:sz w:val="20"/>
                <w:szCs w:val="20"/>
              </w:rPr>
              <w:t>günleri</w:t>
            </w:r>
            <w:proofErr w:type="spellEnd"/>
          </w:p>
        </w:tc>
      </w:tr>
      <w:tr w:rsidR="00BC4BFE" w:rsidRPr="00F45090" w:rsidTr="006674C3">
        <w:trPr>
          <w:trHeight w:val="605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Modern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Pentatlon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için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belirlenen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sürecinin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sonunda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Üçlü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dönemi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sonrasında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yazılı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olarak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ayrılan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davetlerin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doğrulamasını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ilgili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komitelerine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iletir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BC4BFE" w:rsidRPr="00F45090" w:rsidTr="00BC4BFE">
        <w:trPr>
          <w:trHeight w:val="321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7-13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2021 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Şampiyonası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(Minsk - Belarus)</w:t>
            </w:r>
          </w:p>
        </w:tc>
      </w:tr>
      <w:tr w:rsidR="00BC4BFE" w:rsidRPr="00F45090" w:rsidTr="00BC4BFE">
        <w:trPr>
          <w:trHeight w:val="270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Dünya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Sıralaması’nın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yayınlanması</w:t>
            </w:r>
            <w:proofErr w:type="spellEnd"/>
          </w:p>
        </w:tc>
      </w:tr>
      <w:tr w:rsidR="00BC4BFE" w:rsidRPr="00F45090" w:rsidTr="00BC4BFE">
        <w:trPr>
          <w:trHeight w:val="430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Kalifikasyon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Sistemi’nin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kapanışı</w:t>
            </w:r>
            <w:proofErr w:type="spellEnd"/>
          </w:p>
        </w:tc>
      </w:tr>
      <w:tr w:rsidR="00BC4BFE" w:rsidRPr="00F45090" w:rsidTr="00BC4BFE">
        <w:trPr>
          <w:trHeight w:val="393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UIPM’in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ulusal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federasyonları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komitelerini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tahsis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hakkında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bilgilendirmesi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4BFE" w:rsidRPr="00F45090" w:rsidTr="00BC4BFE">
        <w:trPr>
          <w:trHeight w:val="428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21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komitelerinin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tahsis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edilen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kotaların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kullanımını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UIPM’e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bildirmesi</w:t>
            </w:r>
            <w:proofErr w:type="spellEnd"/>
          </w:p>
        </w:tc>
      </w:tr>
      <w:tr w:rsidR="00BC4BFE" w:rsidRPr="00F45090" w:rsidTr="00BC4BFE">
        <w:trPr>
          <w:trHeight w:val="264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UIPM’in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kullanılmayan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kotaların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yeniden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tahsis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edilişini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onaylaması</w:t>
            </w:r>
            <w:proofErr w:type="spellEnd"/>
          </w:p>
        </w:tc>
      </w:tr>
      <w:tr w:rsidR="00BC4BFE" w:rsidRPr="00F45090" w:rsidTr="00BC4BFE">
        <w:trPr>
          <w:trHeight w:val="423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komitelerinin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yeniden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tahsis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edilen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kotaların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kullanımını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UIPM’e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bildirmesi</w:t>
            </w:r>
            <w:proofErr w:type="spellEnd"/>
          </w:p>
        </w:tc>
      </w:tr>
      <w:tr w:rsidR="00BC4BFE" w:rsidRPr="00F45090" w:rsidTr="00BC4BFE">
        <w:trPr>
          <w:trHeight w:val="274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29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Haziran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UIPM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Yeniden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Tahsis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Süreci’nin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kapanışı</w:t>
            </w:r>
            <w:proofErr w:type="spellEnd"/>
          </w:p>
        </w:tc>
      </w:tr>
      <w:tr w:rsidR="00BC4BFE" w:rsidRPr="00F45090" w:rsidTr="00BC4BFE">
        <w:trPr>
          <w:trHeight w:val="278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Temmuz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Tokyo 2020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spor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girdilerinin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sonlanma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tarihi</w:t>
            </w:r>
            <w:proofErr w:type="spellEnd"/>
          </w:p>
        </w:tc>
      </w:tr>
      <w:tr w:rsidR="00BC4BFE" w:rsidRPr="00F45090" w:rsidTr="00BC4BFE">
        <w:trPr>
          <w:trHeight w:val="278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both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23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Temmuz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- 8 </w:t>
            </w:r>
            <w:proofErr w:type="spellStart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Ağustos</w:t>
            </w:r>
            <w:proofErr w:type="spellEnd"/>
            <w:r w:rsidRPr="00F4509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C4BFE" w:rsidRPr="00F45090" w:rsidRDefault="00BC4BFE" w:rsidP="008D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Theme="majorHAnsi" w:eastAsia="Arial" w:hAnsiTheme="majorHAnsi" w:cstheme="majorHAnsi"/>
                <w:color w:val="141414"/>
                <w:sz w:val="20"/>
                <w:szCs w:val="20"/>
              </w:rPr>
            </w:pPr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Tokyo 2020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Olimpiyat</w:t>
            </w:r>
            <w:proofErr w:type="spellEnd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9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Oyunları</w:t>
            </w:r>
            <w:proofErr w:type="spellEnd"/>
          </w:p>
        </w:tc>
      </w:tr>
    </w:tbl>
    <w:p w:rsidR="009362B6" w:rsidRPr="00F45090" w:rsidRDefault="009362B6">
      <w:pPr>
        <w:rPr>
          <w:rFonts w:asciiTheme="majorHAnsi" w:hAnsiTheme="majorHAnsi" w:cstheme="majorHAnsi"/>
          <w:sz w:val="20"/>
          <w:szCs w:val="20"/>
        </w:rPr>
      </w:pPr>
    </w:p>
    <w:sectPr w:rsidR="009362B6" w:rsidRPr="00F45090" w:rsidSect="00BC4BFE">
      <w:type w:val="continuous"/>
      <w:pgSz w:w="11900" w:h="16840"/>
      <w:pgMar w:top="1531" w:right="957" w:bottom="1119" w:left="984" w:header="0" w:footer="3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F4" w:rsidRDefault="00E777F4">
      <w:r>
        <w:separator/>
      </w:r>
    </w:p>
  </w:endnote>
  <w:endnote w:type="continuationSeparator" w:id="0">
    <w:p w:rsidR="00E777F4" w:rsidRDefault="00E7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F4" w:rsidRDefault="00E777F4">
      <w:r>
        <w:separator/>
      </w:r>
    </w:p>
  </w:footnote>
  <w:footnote w:type="continuationSeparator" w:id="0">
    <w:p w:rsidR="00E777F4" w:rsidRDefault="00E7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FE" w:rsidRDefault="00BC4BFE">
    <w:pPr>
      <w:pStyle w:val="stbilgi"/>
    </w:pPr>
    <w:r>
      <w:rPr>
        <w:noProof/>
        <w:lang w:val="tr-TR"/>
      </w:rPr>
      <w:drawing>
        <wp:anchor distT="0" distB="0" distL="63500" distR="63500" simplePos="0" relativeHeight="251659264" behindDoc="1" locked="0" layoutInCell="1" allowOverlap="1" wp14:anchorId="1274CEB2" wp14:editId="262A474D">
          <wp:simplePos x="0" y="0"/>
          <wp:positionH relativeFrom="margin">
            <wp:posOffset>4881880</wp:posOffset>
          </wp:positionH>
          <wp:positionV relativeFrom="paragraph">
            <wp:posOffset>139700</wp:posOffset>
          </wp:positionV>
          <wp:extent cx="1706880" cy="719455"/>
          <wp:effectExtent l="0" t="0" r="7620" b="4445"/>
          <wp:wrapNone/>
          <wp:docPr id="2" name="Resim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/>
      </w:rPr>
      <w:drawing>
        <wp:anchor distT="0" distB="0" distL="63500" distR="63500" simplePos="0" relativeHeight="251658240" behindDoc="1" locked="0" layoutInCell="1" allowOverlap="1" wp14:anchorId="3EFE1722" wp14:editId="34CA5C1A">
          <wp:simplePos x="0" y="0"/>
          <wp:positionH relativeFrom="margin">
            <wp:posOffset>-377190</wp:posOffset>
          </wp:positionH>
          <wp:positionV relativeFrom="paragraph">
            <wp:posOffset>143510</wp:posOffset>
          </wp:positionV>
          <wp:extent cx="1225550" cy="658495"/>
          <wp:effectExtent l="0" t="0" r="0" b="8255"/>
          <wp:wrapNone/>
          <wp:docPr id="1" name="Resim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2BE"/>
    <w:multiLevelType w:val="multilevel"/>
    <w:tmpl w:val="D2720AE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FA7764A"/>
    <w:multiLevelType w:val="multilevel"/>
    <w:tmpl w:val="9288EAB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769214E1"/>
    <w:multiLevelType w:val="multilevel"/>
    <w:tmpl w:val="40846128"/>
    <w:lvl w:ilvl="0">
      <w:start w:val="4"/>
      <w:numFmt w:val="upperLetter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62B6"/>
    <w:rsid w:val="006422FC"/>
    <w:rsid w:val="008556EA"/>
    <w:rsid w:val="009362B6"/>
    <w:rsid w:val="00BC4BFE"/>
    <w:rsid w:val="00E777F4"/>
    <w:rsid w:val="00F3247F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sz w:val="24"/>
        <w:szCs w:val="24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C4B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4BFE"/>
  </w:style>
  <w:style w:type="paragraph" w:styleId="Altbilgi">
    <w:name w:val="footer"/>
    <w:basedOn w:val="Normal"/>
    <w:link w:val="AltbilgiChar"/>
    <w:uiPriority w:val="99"/>
    <w:unhideWhenUsed/>
    <w:rsid w:val="00BC4B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sz w:val="24"/>
        <w:szCs w:val="24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C4B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4BFE"/>
  </w:style>
  <w:style w:type="paragraph" w:styleId="Altbilgi">
    <w:name w:val="footer"/>
    <w:basedOn w:val="Normal"/>
    <w:link w:val="AltbilgiChar"/>
    <w:uiPriority w:val="99"/>
    <w:unhideWhenUsed/>
    <w:rsid w:val="00BC4B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tathlon.org/world-rank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</cp:lastModifiedBy>
  <cp:revision>2</cp:revision>
  <dcterms:created xsi:type="dcterms:W3CDTF">2020-05-01T08:31:00Z</dcterms:created>
  <dcterms:modified xsi:type="dcterms:W3CDTF">2020-05-01T09:28:00Z</dcterms:modified>
</cp:coreProperties>
</file>